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154B448D" w:rsidR="00FC4517" w:rsidRDefault="009631F9" w:rsidP="00FC4517">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FE0B59">
        <w:rPr>
          <w:rFonts w:ascii="Arial" w:hAnsi="Arial" w:cs="Arial"/>
          <w:b/>
          <w:bCs/>
          <w:sz w:val="28"/>
        </w:rPr>
        <w:t>4</w:t>
      </w:r>
      <w:r w:rsidR="009D311F">
        <w:rPr>
          <w:rFonts w:ascii="Arial" w:hAnsi="Arial" w:cs="Arial" w:hint="eastAsia"/>
          <w:b/>
          <w:bCs/>
          <w:sz w:val="28"/>
          <w:lang w:eastAsia="zh-CN"/>
        </w:rPr>
        <w:t>b</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9D311F">
        <w:rPr>
          <w:rFonts w:ascii="Arial" w:hAnsi="Arial" w:cs="Arial"/>
          <w:b/>
          <w:bCs/>
          <w:sz w:val="28"/>
        </w:rPr>
        <w:tab/>
        <w:t xml:space="preserve">   </w:t>
      </w:r>
      <w:r w:rsidR="00630DA9">
        <w:rPr>
          <w:rFonts w:ascii="Arial" w:hAnsi="Arial" w:cs="Arial"/>
          <w:b/>
          <w:bCs/>
          <w:sz w:val="28"/>
        </w:rPr>
        <w:t xml:space="preserve">  </w:t>
      </w:r>
      <w:r w:rsidR="004D3C43">
        <w:rPr>
          <w:rFonts w:ascii="Arial" w:hAnsi="Arial" w:cs="Arial"/>
          <w:b/>
          <w:bCs/>
          <w:sz w:val="28"/>
        </w:rPr>
        <w:t xml:space="preserve"> </w:t>
      </w:r>
      <w:r w:rsidR="003907B9" w:rsidRPr="003907B9">
        <w:rPr>
          <w:rFonts w:ascii="Arial" w:hAnsi="Arial" w:cs="Arial"/>
          <w:b/>
          <w:bCs/>
          <w:sz w:val="28"/>
        </w:rPr>
        <w:t>R1-2102476</w:t>
      </w:r>
    </w:p>
    <w:p w14:paraId="6AAC82D6" w14:textId="64E06187"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200992" w:rsidRPr="0019304A">
        <w:rPr>
          <w:rFonts w:ascii="Arial" w:hAnsi="Arial" w:cs="Arial"/>
          <w:b/>
          <w:bCs/>
          <w:sz w:val="28"/>
        </w:rPr>
        <w:t>April 12</w:t>
      </w:r>
      <w:r w:rsidR="00200992" w:rsidRPr="0019304A">
        <w:rPr>
          <w:rFonts w:ascii="Arial" w:hAnsi="Arial" w:cs="Arial"/>
          <w:b/>
          <w:bCs/>
          <w:sz w:val="28"/>
          <w:vertAlign w:val="superscript"/>
        </w:rPr>
        <w:t>th</w:t>
      </w:r>
      <w:r w:rsidR="00200992" w:rsidRPr="0019304A">
        <w:rPr>
          <w:rFonts w:ascii="Arial" w:hAnsi="Arial" w:cs="Arial"/>
          <w:b/>
          <w:bCs/>
          <w:sz w:val="28"/>
        </w:rPr>
        <w:t xml:space="preserve"> – April 20</w:t>
      </w:r>
      <w:r w:rsidR="00200992" w:rsidRPr="0019304A">
        <w:rPr>
          <w:rFonts w:ascii="Arial" w:hAnsi="Arial" w:cs="Arial"/>
          <w:b/>
          <w:bCs/>
          <w:sz w:val="28"/>
          <w:vertAlign w:val="superscript"/>
        </w:rPr>
        <w:t>th</w:t>
      </w:r>
      <w:r w:rsidR="006A183C" w:rsidRPr="006A183C">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4DC24C2B"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15438D">
        <w:rPr>
          <w:rFonts w:hint="eastAsia"/>
          <w:b/>
          <w:lang w:eastAsia="zh-CN"/>
        </w:rPr>
        <w:t>5</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6443FED7" w:rsidR="00121B70" w:rsidRDefault="009631F9">
      <w:pPr>
        <w:spacing w:after="60"/>
        <w:ind w:left="1555" w:hanging="1555"/>
        <w:jc w:val="left"/>
        <w:rPr>
          <w:b/>
          <w:lang w:eastAsia="zh-CN"/>
        </w:rPr>
      </w:pPr>
      <w:r>
        <w:rPr>
          <w:b/>
        </w:rPr>
        <w:t>Title:</w:t>
      </w:r>
      <w:r>
        <w:rPr>
          <w:b/>
        </w:rPr>
        <w:tab/>
      </w:r>
      <w:r w:rsidR="00FE0B59" w:rsidRPr="00FE0B59">
        <w:rPr>
          <w:b/>
        </w:rPr>
        <w:t xml:space="preserve">Consideration on </w:t>
      </w:r>
      <w:r w:rsidR="0025637E" w:rsidRPr="0025637E">
        <w:rPr>
          <w:b/>
        </w:rPr>
        <w:t>other design aspects for IOT NTN</w:t>
      </w:r>
      <w:r w:rsidR="001B61FB" w:rsidRPr="001B61FB">
        <w:rPr>
          <w:b/>
          <w:lang w:val="en-GB"/>
        </w:rPr>
        <w:t xml:space="preserve"> </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7777777" w:rsidR="00B3553A" w:rsidRDefault="00B3553A" w:rsidP="00B3553A">
      <w:pPr>
        <w:rPr>
          <w:lang w:eastAsia="zh-CN"/>
        </w:rPr>
      </w:pPr>
      <w:r>
        <w:rPr>
          <w:lang w:eastAsia="zh-CN"/>
        </w:rPr>
        <w:t>The study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E88BEEE"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This Study will evaluate and confirm solutions to address the minimum necessary specifications for NB-IoT and eMTC according to the following objectives. </w:t>
            </w:r>
          </w:p>
          <w:p w14:paraId="2F116031"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The first objective of this Study is to identify scenarios applicable to NB-IoT/eMTC [RAN1, RAN2], including:</w:t>
            </w:r>
          </w:p>
          <w:p w14:paraId="48A40653"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Bands of interest in sub 6 GHz</w:t>
            </w:r>
          </w:p>
          <w:p w14:paraId="579385C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Device type with PC3 or PC5 (LEO and GEO) </w:t>
            </w:r>
          </w:p>
          <w:p w14:paraId="51800526"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 xml:space="preserve">Satellite constellation orbit LEO and GEO </w:t>
            </w:r>
          </w:p>
          <w:p w14:paraId="37526530"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Transparent payload.</w:t>
            </w:r>
          </w:p>
          <w:p w14:paraId="6F00A8D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Link budget</w:t>
            </w:r>
          </w:p>
          <w:p w14:paraId="075B42F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1: This first objective will be based on the scenarios documented in TR 38.821.</w:t>
            </w:r>
          </w:p>
          <w:p w14:paraId="5324AA03"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t>NOTE 2: UE mobility assumptions follow terrestrial NB-IoT/eMTC assumptions.</w:t>
            </w:r>
          </w:p>
          <w:p w14:paraId="409B1C57"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p>
          <w:p w14:paraId="199B1AFC" w14:textId="77777777" w:rsidR="00B3553A" w:rsidRPr="00F320C1" w:rsidRDefault="00B3553A" w:rsidP="00092B47">
            <w:pPr>
              <w:overflowPunct w:val="0"/>
              <w:snapToGrid/>
              <w:spacing w:after="180"/>
              <w:jc w:val="left"/>
              <w:textAlignment w:val="baseline"/>
              <w:rPr>
                <w:rFonts w:eastAsia="宋体"/>
                <w:sz w:val="20"/>
                <w:szCs w:val="20"/>
                <w:lang w:val="en-GB" w:eastAsia="zh-TW"/>
              </w:rPr>
            </w:pPr>
            <w:r w:rsidRPr="00F320C1">
              <w:rPr>
                <w:rFonts w:eastAsia="宋体"/>
                <w:sz w:val="20"/>
                <w:szCs w:val="20"/>
                <w:lang w:val="en-GB" w:eastAsia="zh-TW"/>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6E67062B"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Aspects related to random access procedure/signals [RAN1, RAN2]</w:t>
            </w:r>
          </w:p>
          <w:p w14:paraId="01648A8C"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Mechanisms for time/frequency adjustment including Timing Advance, and UL frequency compensation indication [RAN1, RAN2]</w:t>
            </w:r>
          </w:p>
          <w:p w14:paraId="0923D822"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Timing offset related to scheduling and HARQ-ACK feedback [RAN1, RAN2]</w:t>
            </w:r>
          </w:p>
          <w:p w14:paraId="3F27377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    Aspects related to HARQ operation [RAN2, RAN1]</w:t>
            </w:r>
          </w:p>
          <w:p w14:paraId="5E87AE87"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General aspects related to timers (e.g. SR, DRX, etc.) [RAN2]</w:t>
            </w:r>
          </w:p>
          <w:p w14:paraId="163F4E8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RAN2 aspects related to idle mode and connected mode mobility [RAN2]</w:t>
            </w:r>
          </w:p>
          <w:p w14:paraId="15B56B70"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RLF-based for NB-IoT</w:t>
            </w:r>
          </w:p>
          <w:p w14:paraId="6BE776F6" w14:textId="77777777" w:rsidR="00B3553A" w:rsidRPr="00F320C1" w:rsidRDefault="00B3553A" w:rsidP="00092B47">
            <w:pPr>
              <w:overflowPunct w:val="0"/>
              <w:snapToGrid/>
              <w:spacing w:after="180"/>
              <w:ind w:left="851"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Handover-based for eMTC</w:t>
            </w:r>
          </w:p>
          <w:p w14:paraId="29CB9BF4"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System information enhancements [RAN2]</w:t>
            </w:r>
          </w:p>
          <w:p w14:paraId="032A985E" w14:textId="77777777" w:rsidR="00B3553A" w:rsidRPr="00F320C1" w:rsidRDefault="00B3553A" w:rsidP="00092B47">
            <w:pPr>
              <w:overflowPunct w:val="0"/>
              <w:snapToGrid/>
              <w:spacing w:after="180"/>
              <w:ind w:left="568" w:hanging="284"/>
              <w:jc w:val="left"/>
              <w:textAlignment w:val="baseline"/>
              <w:rPr>
                <w:rFonts w:eastAsia="宋体"/>
                <w:sz w:val="20"/>
                <w:szCs w:val="20"/>
                <w:lang w:val="en-GB" w:eastAsia="zh-TW"/>
              </w:rPr>
            </w:pPr>
            <w:r w:rsidRPr="00F320C1">
              <w:rPr>
                <w:rFonts w:eastAsia="宋体"/>
                <w:sz w:val="20"/>
                <w:szCs w:val="20"/>
                <w:lang w:val="en-GB" w:eastAsia="zh-TW"/>
              </w:rPr>
              <w:t>-</w:t>
            </w:r>
            <w:r w:rsidRPr="00F320C1">
              <w:rPr>
                <w:rFonts w:eastAsia="宋体"/>
                <w:sz w:val="20"/>
                <w:szCs w:val="20"/>
                <w:lang w:val="en-GB" w:eastAsia="zh-TW"/>
              </w:rPr>
              <w:tab/>
              <w:t>Tracking area enhancements [RAN2]</w:t>
            </w:r>
          </w:p>
          <w:p w14:paraId="1423EE85" w14:textId="77777777" w:rsidR="00B3553A" w:rsidRPr="00F320C1" w:rsidRDefault="00B3553A" w:rsidP="00092B47">
            <w:pPr>
              <w:overflowPunct w:val="0"/>
              <w:snapToGrid/>
              <w:spacing w:after="180"/>
              <w:jc w:val="left"/>
              <w:textAlignment w:val="baseline"/>
              <w:rPr>
                <w:rFonts w:eastAsia="宋体"/>
                <w:sz w:val="20"/>
                <w:szCs w:val="20"/>
                <w:lang w:val="en-GB" w:eastAsia="zh-TW"/>
              </w:rPr>
            </w:pPr>
          </w:p>
          <w:p w14:paraId="418229C7" w14:textId="77777777" w:rsidR="00B3553A" w:rsidRPr="00F320C1" w:rsidRDefault="00B3553A" w:rsidP="00092B47">
            <w:pPr>
              <w:keepLines/>
              <w:overflowPunct w:val="0"/>
              <w:snapToGrid/>
              <w:spacing w:after="180"/>
              <w:ind w:left="1135" w:hanging="851"/>
              <w:jc w:val="left"/>
              <w:textAlignment w:val="baseline"/>
              <w:rPr>
                <w:rFonts w:eastAsia="宋体"/>
                <w:sz w:val="20"/>
                <w:szCs w:val="20"/>
                <w:lang w:val="en-GB" w:eastAsia="zh-TW"/>
              </w:rPr>
            </w:pPr>
            <w:r w:rsidRPr="00F320C1">
              <w:rPr>
                <w:rFonts w:eastAsia="宋体"/>
                <w:sz w:val="20"/>
                <w:szCs w:val="20"/>
                <w:lang w:val="en-GB" w:eastAsia="zh-TW"/>
              </w:rPr>
              <w:lastRenderedPageBreak/>
              <w:t xml:space="preserve">NOTE 3: </w:t>
            </w:r>
            <w:r w:rsidRPr="00F320C1">
              <w:rPr>
                <w:rFonts w:eastAsia="宋体"/>
                <w:sz w:val="20"/>
                <w:szCs w:val="20"/>
                <w:lang w:val="en-GB" w:eastAsia="zh-TW"/>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39899062" w14:textId="77777777" w:rsidR="00B3553A" w:rsidRPr="00F320C1" w:rsidRDefault="00B3553A" w:rsidP="00092B47">
            <w:pPr>
              <w:overflowPunct w:val="0"/>
              <w:snapToGrid/>
              <w:spacing w:after="180"/>
              <w:jc w:val="left"/>
              <w:textAlignment w:val="baseline"/>
              <w:rPr>
                <w:rFonts w:eastAsia="PMingLiU"/>
                <w:sz w:val="20"/>
                <w:szCs w:val="20"/>
                <w:lang w:val="en-GB" w:eastAsia="zh-TW"/>
              </w:rPr>
            </w:pPr>
            <w:r w:rsidRPr="00F320C1">
              <w:rPr>
                <w:rFonts w:eastAsia="宋体"/>
                <w:sz w:val="20"/>
                <w:szCs w:val="20"/>
                <w:lang w:val="en-GB" w:eastAsia="zh-TW"/>
              </w:rPr>
              <w:t>Recommendations for NB-IoT and recommendations for eMTC will be documented in the conclusions.</w:t>
            </w:r>
          </w:p>
        </w:tc>
      </w:tr>
    </w:tbl>
    <w:p w14:paraId="369B77AA" w14:textId="57DB7167" w:rsidR="00B3553A" w:rsidRPr="00F320C1" w:rsidRDefault="00B3553A" w:rsidP="00B3553A">
      <w:pPr>
        <w:autoSpaceDE/>
        <w:autoSpaceDN/>
        <w:adjustRightInd/>
        <w:snapToGrid/>
        <w:rPr>
          <w:rFonts w:eastAsia="宋体"/>
          <w:lang w:eastAsia="zh-CN"/>
        </w:rPr>
      </w:pPr>
      <w:r w:rsidRPr="00F320C1">
        <w:rPr>
          <w:rFonts w:eastAsia="宋体"/>
          <w:lang w:eastAsia="x-none"/>
        </w:rPr>
        <w:lastRenderedPageBreak/>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FE0235" w:rsidRPr="00FE0235">
        <w:rPr>
          <w:rFonts w:eastAsia="宋体"/>
          <w:lang w:eastAsia="x-none"/>
        </w:rPr>
        <w:t>other design aspects for NTN</w:t>
      </w:r>
      <w:r>
        <w:rPr>
          <w:rFonts w:eastAsia="宋体"/>
          <w:lang w:eastAsia="x-none"/>
        </w:rPr>
        <w:t xml:space="preserve"> to NB-IoT/eMTC over NTN</w:t>
      </w:r>
      <w:r w:rsidRPr="00F320C1">
        <w:rPr>
          <w:rFonts w:eastAsia="宋体"/>
          <w:lang w:eastAsia="zh-CN"/>
        </w:rPr>
        <w:t>.</w:t>
      </w:r>
    </w:p>
    <w:p w14:paraId="1602EFA4" w14:textId="77777777" w:rsidR="00B3553A" w:rsidRPr="00B33610" w:rsidRDefault="00B3553A" w:rsidP="00B3553A">
      <w:pPr>
        <w:rPr>
          <w:lang w:eastAsia="zh-CN"/>
        </w:rPr>
      </w:pPr>
    </w:p>
    <w:p w14:paraId="0AEB890B" w14:textId="4094981B" w:rsidR="00B3553A" w:rsidRDefault="00BD2917" w:rsidP="00BD2917">
      <w:pPr>
        <w:pStyle w:val="1"/>
        <w:rPr>
          <w:lang w:val="en-GB" w:eastAsia="zh-CN"/>
        </w:rPr>
      </w:pPr>
      <w:r>
        <w:rPr>
          <w:lang w:val="en-GB" w:eastAsia="zh-CN"/>
        </w:rPr>
        <w:t>Cell and beam</w:t>
      </w:r>
      <w:r w:rsidRPr="00BD2917">
        <w:rPr>
          <w:lang w:val="en-GB" w:eastAsia="zh-CN"/>
        </w:rPr>
        <w:t xml:space="preserve"> planning</w:t>
      </w:r>
    </w:p>
    <w:p w14:paraId="06A3F624" w14:textId="1EFB98A8" w:rsidR="00BD2917" w:rsidRDefault="00BD2917" w:rsidP="00B3553A">
      <w:pPr>
        <w:rPr>
          <w:lang w:val="en-GB" w:eastAsia="zh-CN"/>
        </w:rPr>
      </w:pPr>
      <w:r>
        <w:rPr>
          <w:lang w:val="en-GB" w:eastAsia="zh-CN"/>
        </w:rPr>
        <w:t>I</w:t>
      </w:r>
      <w:r w:rsidRPr="00BD2917">
        <w:rPr>
          <w:lang w:val="en-GB" w:eastAsia="zh-CN"/>
        </w:rPr>
        <w:t>n RAN1#102e</w:t>
      </w:r>
      <w:r>
        <w:rPr>
          <w:lang w:val="en-GB" w:eastAsia="zh-CN"/>
        </w:rPr>
        <w:t>,</w:t>
      </w:r>
      <w:r w:rsidRPr="00BD2917">
        <w:rPr>
          <w:lang w:val="en-GB" w:eastAsia="zh-CN"/>
        </w:rPr>
        <w:t xml:space="preserve"> </w:t>
      </w:r>
      <w:r>
        <w:rPr>
          <w:lang w:val="en-GB" w:eastAsia="zh-CN"/>
        </w:rPr>
        <w:t>t</w:t>
      </w:r>
      <w:r w:rsidRPr="00BD2917">
        <w:rPr>
          <w:lang w:val="en-GB" w:eastAsia="zh-CN"/>
        </w:rPr>
        <w:t xml:space="preserve">he following agreements were made </w:t>
      </w:r>
      <w:r>
        <w:rPr>
          <w:lang w:val="en-GB" w:eastAsia="zh-CN"/>
        </w:rPr>
        <w:t>in NR NTN</w:t>
      </w:r>
      <w:r w:rsidR="00475E00">
        <w:rPr>
          <w:lang w:val="en-GB" w:eastAsia="zh-CN"/>
        </w:rPr>
        <w:t xml:space="preserve"> [2]</w:t>
      </w:r>
      <w:r>
        <w:rPr>
          <w:lang w:val="en-GB" w:eastAsia="zh-CN"/>
        </w:rPr>
        <w:t>.</w:t>
      </w:r>
    </w:p>
    <w:tbl>
      <w:tblPr>
        <w:tblStyle w:val="aff1"/>
        <w:tblW w:w="0" w:type="auto"/>
        <w:tblLook w:val="04A0" w:firstRow="1" w:lastRow="0" w:firstColumn="1" w:lastColumn="0" w:noHBand="0" w:noVBand="1"/>
      </w:tblPr>
      <w:tblGrid>
        <w:gridCol w:w="9307"/>
      </w:tblGrid>
      <w:tr w:rsidR="00BD2917" w14:paraId="37F00E1F" w14:textId="77777777" w:rsidTr="00BD2917">
        <w:tc>
          <w:tcPr>
            <w:tcW w:w="9307" w:type="dxa"/>
          </w:tcPr>
          <w:p w14:paraId="0F5A9973" w14:textId="77777777" w:rsidR="00BD2917" w:rsidRPr="00BD2917" w:rsidRDefault="00BD2917" w:rsidP="00BD2917">
            <w:pPr>
              <w:autoSpaceDE/>
              <w:autoSpaceDN/>
              <w:adjustRightInd/>
              <w:snapToGrid/>
              <w:spacing w:after="0"/>
              <w:jc w:val="left"/>
              <w:rPr>
                <w:rFonts w:ascii="Calibri" w:eastAsia="宋体" w:hAnsi="Calibri" w:cs="Calibri"/>
                <w:lang w:eastAsia="x-none"/>
              </w:rPr>
            </w:pPr>
            <w:r w:rsidRPr="00BD2917">
              <w:rPr>
                <w:rFonts w:ascii="Calibri" w:eastAsia="宋体" w:hAnsi="Calibri" w:cs="Calibri"/>
                <w:highlight w:val="green"/>
                <w:lang w:eastAsia="x-none"/>
              </w:rPr>
              <w:t>Agreement:</w:t>
            </w:r>
          </w:p>
          <w:p w14:paraId="21BD909E" w14:textId="77777777" w:rsidR="00BD2917" w:rsidRPr="00BD2917" w:rsidRDefault="00BD2917" w:rsidP="00BD2917">
            <w:pPr>
              <w:autoSpaceDE/>
              <w:autoSpaceDN/>
              <w:adjustRightInd/>
              <w:snapToGrid/>
              <w:spacing w:after="0"/>
              <w:jc w:val="left"/>
              <w:rPr>
                <w:rFonts w:ascii="Calibri" w:eastAsia="宋体" w:hAnsi="Calibri" w:cs="Calibri"/>
                <w:lang w:eastAsia="x-none"/>
              </w:rPr>
            </w:pPr>
            <w:r w:rsidRPr="00BD2917">
              <w:rPr>
                <w:rFonts w:ascii="Calibri" w:eastAsia="宋体" w:hAnsi="Calibri" w:cs="Calibri"/>
                <w:lang w:eastAsia="x-none"/>
              </w:rPr>
              <w:t>One-beam per cell and multiple-beam per cell are supported in existing NR specifications and are baseline for NR NTN.</w:t>
            </w:r>
          </w:p>
          <w:p w14:paraId="0061CDF3" w14:textId="77777777" w:rsidR="00BD2917" w:rsidRPr="00BD2917" w:rsidRDefault="00BD2917" w:rsidP="00BD2917">
            <w:pPr>
              <w:numPr>
                <w:ilvl w:val="0"/>
                <w:numId w:val="40"/>
              </w:numPr>
              <w:autoSpaceDE/>
              <w:autoSpaceDN/>
              <w:adjustRightInd/>
              <w:snapToGrid/>
              <w:spacing w:after="0"/>
              <w:jc w:val="left"/>
              <w:rPr>
                <w:rFonts w:ascii="Calibri" w:eastAsia="宋体" w:hAnsi="Calibri" w:cs="Calibri"/>
                <w:lang w:eastAsia="x-none"/>
              </w:rPr>
            </w:pPr>
            <w:r w:rsidRPr="00BD2917">
              <w:rPr>
                <w:rFonts w:ascii="Calibri" w:eastAsia="宋体" w:hAnsi="Calibri" w:cs="Calibri"/>
                <w:lang w:eastAsia="x-none"/>
              </w:rPr>
              <w:t xml:space="preserve">FFS: The need for potential enhancement for beam management </w:t>
            </w:r>
          </w:p>
          <w:p w14:paraId="05375CCE" w14:textId="0232D6D6" w:rsidR="00BD2917" w:rsidRPr="00BD2917" w:rsidRDefault="00BD2917" w:rsidP="00B3553A">
            <w:pPr>
              <w:numPr>
                <w:ilvl w:val="0"/>
                <w:numId w:val="40"/>
              </w:numPr>
              <w:autoSpaceDE/>
              <w:autoSpaceDN/>
              <w:adjustRightInd/>
              <w:snapToGrid/>
              <w:spacing w:after="0"/>
              <w:jc w:val="left"/>
              <w:rPr>
                <w:rFonts w:ascii="Calibri" w:eastAsia="宋体" w:hAnsi="Calibri" w:cs="Calibri"/>
                <w:lang w:eastAsia="x-none"/>
              </w:rPr>
            </w:pPr>
            <w:r w:rsidRPr="00BD2917">
              <w:rPr>
                <w:rFonts w:ascii="Calibri" w:eastAsia="宋体" w:hAnsi="Calibri" w:cs="Calibri"/>
                <w:lang w:eastAsia="x-none"/>
              </w:rPr>
              <w:t>FFS: The need for potential enhancement on association of SSBs, beams and BWPs</w:t>
            </w:r>
          </w:p>
        </w:tc>
      </w:tr>
    </w:tbl>
    <w:p w14:paraId="0CB616C2" w14:textId="77777777" w:rsidR="00BD2917" w:rsidRDefault="00BD2917" w:rsidP="00B3553A">
      <w:pPr>
        <w:rPr>
          <w:lang w:val="en-GB" w:eastAsia="zh-CN"/>
        </w:rPr>
      </w:pPr>
    </w:p>
    <w:p w14:paraId="123DC1F5" w14:textId="7C0F49F3" w:rsidR="00DA3C86" w:rsidRDefault="00DA3C86" w:rsidP="00B3553A">
      <w:pPr>
        <w:rPr>
          <w:lang w:val="en-GB" w:eastAsia="zh-CN"/>
        </w:rPr>
      </w:pPr>
      <w:r w:rsidRPr="00DA3C86">
        <w:rPr>
          <w:lang w:val="en-GB" w:eastAsia="zh-CN"/>
        </w:rPr>
        <w:t xml:space="preserve">Due to the rapid movement of satellites, the UE needs to perform frequent cell </w:t>
      </w:r>
      <w:r>
        <w:rPr>
          <w:lang w:val="en-GB" w:eastAsia="zh-CN"/>
        </w:rPr>
        <w:t>handover</w:t>
      </w:r>
      <w:r w:rsidR="00DD3DB0" w:rsidRPr="00DD3DB0">
        <w:t xml:space="preserve"> </w:t>
      </w:r>
      <w:r w:rsidR="00DD3DB0" w:rsidRPr="00DD3DB0">
        <w:rPr>
          <w:lang w:val="en-GB" w:eastAsia="zh-CN"/>
        </w:rPr>
        <w:t>within the either connected or idle mode with larger</w:t>
      </w:r>
      <w:r w:rsidR="00DD3DB0">
        <w:rPr>
          <w:lang w:val="en-GB" w:eastAsia="zh-CN"/>
        </w:rPr>
        <w:t xml:space="preserve"> overhead and power consumption</w:t>
      </w:r>
      <w:r w:rsidRPr="00DA3C86">
        <w:rPr>
          <w:lang w:val="en-GB" w:eastAsia="zh-CN"/>
        </w:rPr>
        <w:t xml:space="preserve">, especially in the scenario of </w:t>
      </w:r>
      <w:r w:rsidR="00DD3DB0">
        <w:rPr>
          <w:lang w:val="en-GB" w:eastAsia="zh-CN"/>
        </w:rPr>
        <w:t>LEO</w:t>
      </w:r>
      <w:r w:rsidRPr="00DA3C86">
        <w:rPr>
          <w:lang w:val="en-GB" w:eastAsia="zh-CN"/>
        </w:rPr>
        <w:t>. Large cell coverage can alleviate frequent cell handover problems to a certain extent.</w:t>
      </w:r>
      <w:r w:rsidR="00025FEF">
        <w:rPr>
          <w:lang w:val="en-GB" w:eastAsia="zh-CN"/>
        </w:rPr>
        <w:t xml:space="preserve"> </w:t>
      </w:r>
      <w:r w:rsidR="0081333E">
        <w:rPr>
          <w:lang w:val="en-GB" w:eastAsia="zh-CN"/>
        </w:rPr>
        <w:t>Furthermore, i</w:t>
      </w:r>
      <w:r w:rsidR="00025FEF" w:rsidRPr="00025FEF">
        <w:rPr>
          <w:lang w:val="en-GB" w:eastAsia="zh-CN"/>
        </w:rPr>
        <w:t>n NB-IOT, the duration for PRACH</w:t>
      </w:r>
      <w:r w:rsidR="00EF2766">
        <w:rPr>
          <w:lang w:val="en-GB" w:eastAsia="zh-CN"/>
        </w:rPr>
        <w:t>/</w:t>
      </w:r>
      <w:r w:rsidR="00025FEF" w:rsidRPr="00025FEF">
        <w:rPr>
          <w:lang w:val="en-GB" w:eastAsia="zh-CN"/>
        </w:rPr>
        <w:t>PUSCH</w:t>
      </w:r>
      <w:r w:rsidR="00EF2766">
        <w:rPr>
          <w:lang w:val="en-GB" w:eastAsia="zh-CN"/>
        </w:rPr>
        <w:t>/PDSCH</w:t>
      </w:r>
      <w:r w:rsidR="00025FEF" w:rsidRPr="00025FEF">
        <w:rPr>
          <w:lang w:val="en-GB" w:eastAsia="zh-CN"/>
        </w:rPr>
        <w:t xml:space="preserve"> transmission is very long, especially with large repetition number.</w:t>
      </w:r>
      <w:r w:rsidR="00813739">
        <w:rPr>
          <w:lang w:val="en-GB" w:eastAsia="zh-CN"/>
        </w:rPr>
        <w:t xml:space="preserve"> Serving cell handover</w:t>
      </w:r>
      <w:r w:rsidR="00813739" w:rsidRPr="00813739">
        <w:rPr>
          <w:lang w:val="en-GB" w:eastAsia="zh-CN"/>
        </w:rPr>
        <w:t xml:space="preserve"> may occur during </w:t>
      </w:r>
      <w:r w:rsidR="002B7076">
        <w:rPr>
          <w:rFonts w:hint="eastAsia"/>
          <w:lang w:val="en-GB" w:eastAsia="zh-CN"/>
        </w:rPr>
        <w:t>the</w:t>
      </w:r>
      <w:r w:rsidR="002B7076">
        <w:rPr>
          <w:lang w:val="en-GB" w:eastAsia="zh-CN"/>
        </w:rPr>
        <w:t xml:space="preserve"> </w:t>
      </w:r>
      <w:r w:rsidR="00813739" w:rsidRPr="00813739">
        <w:rPr>
          <w:lang w:val="en-GB" w:eastAsia="zh-CN"/>
        </w:rPr>
        <w:t>transmission time interval.</w:t>
      </w:r>
      <w:r w:rsidR="00EF2766">
        <w:rPr>
          <w:lang w:val="en-GB" w:eastAsia="zh-CN"/>
        </w:rPr>
        <w:t xml:space="preserve"> </w:t>
      </w:r>
      <w:r w:rsidR="00EF2766" w:rsidRPr="00EF2766">
        <w:rPr>
          <w:lang w:val="en-GB" w:eastAsia="zh-CN"/>
        </w:rPr>
        <w:t xml:space="preserve">From this point of view, in order to avoid </w:t>
      </w:r>
      <w:r w:rsidR="00EF2766">
        <w:rPr>
          <w:lang w:val="en-GB" w:eastAsia="zh-CN"/>
        </w:rPr>
        <w:t>handover</w:t>
      </w:r>
      <w:r w:rsidR="00EF2766" w:rsidRPr="00813739">
        <w:rPr>
          <w:lang w:val="en-GB" w:eastAsia="zh-CN"/>
        </w:rPr>
        <w:t xml:space="preserve"> during </w:t>
      </w:r>
      <w:r w:rsidR="00EF2766">
        <w:rPr>
          <w:lang w:val="en-GB" w:eastAsia="zh-CN"/>
        </w:rPr>
        <w:t>one</w:t>
      </w:r>
      <w:r w:rsidR="00EF2766" w:rsidRPr="00813739">
        <w:rPr>
          <w:lang w:val="en-GB" w:eastAsia="zh-CN"/>
        </w:rPr>
        <w:t xml:space="preserve"> transmission time interval</w:t>
      </w:r>
      <w:r w:rsidR="00EF2766" w:rsidRPr="00EF2766">
        <w:rPr>
          <w:lang w:val="en-GB" w:eastAsia="zh-CN"/>
        </w:rPr>
        <w:t xml:space="preserve"> as much as possible in IOT NTN, a large cell coverage is the best choice</w:t>
      </w:r>
      <w:r w:rsidR="00EF2766">
        <w:rPr>
          <w:lang w:val="en-GB" w:eastAsia="zh-CN"/>
        </w:rPr>
        <w:t>.</w:t>
      </w:r>
      <w:r w:rsidR="00EF2766">
        <w:rPr>
          <w:rFonts w:hint="eastAsia"/>
          <w:lang w:val="en-GB" w:eastAsia="zh-CN"/>
        </w:rPr>
        <w:t xml:space="preserve"> </w:t>
      </w:r>
      <w:r w:rsidR="00025FEF" w:rsidRPr="00025FEF">
        <w:rPr>
          <w:lang w:val="en-GB" w:eastAsia="zh-CN"/>
        </w:rPr>
        <w:t xml:space="preserve">In </w:t>
      </w:r>
      <w:r w:rsidR="00341BAE">
        <w:rPr>
          <w:lang w:val="en-GB" w:eastAsia="zh-CN"/>
        </w:rPr>
        <w:t xml:space="preserve">NR </w:t>
      </w:r>
      <w:r w:rsidR="00025FEF" w:rsidRPr="00025FEF">
        <w:rPr>
          <w:lang w:val="en-GB" w:eastAsia="zh-CN"/>
        </w:rPr>
        <w:t xml:space="preserve">NTN deployment, the larger coverage of a </w:t>
      </w:r>
      <w:r w:rsidR="00443FE4">
        <w:rPr>
          <w:lang w:val="en-GB" w:eastAsia="zh-CN"/>
        </w:rPr>
        <w:t>NTN cell can be implemented by</w:t>
      </w:r>
      <w:r w:rsidR="00025FEF" w:rsidRPr="00025FEF">
        <w:rPr>
          <w:lang w:val="en-GB" w:eastAsia="zh-CN"/>
        </w:rPr>
        <w:t xml:space="preserve"> multiple satellite beams.</w:t>
      </w:r>
    </w:p>
    <w:p w14:paraId="7FBA9E65" w14:textId="70FD579D" w:rsidR="009D1C00" w:rsidRDefault="009D1C00" w:rsidP="00B3553A">
      <w:pPr>
        <w:rPr>
          <w:b/>
          <w:i/>
          <w:lang w:val="en-GB" w:eastAsia="zh-CN"/>
        </w:rPr>
      </w:pPr>
      <w:bookmarkStart w:id="1" w:name="OLE_LINK10"/>
      <w:bookmarkStart w:id="2" w:name="OLE_LINK11"/>
      <w:bookmarkStart w:id="3" w:name="OLE_LINK6"/>
      <w:bookmarkStart w:id="4" w:name="OLE_LINK7"/>
      <w:r w:rsidRPr="009D1C00">
        <w:rPr>
          <w:b/>
          <w:i/>
          <w:lang w:val="en-GB" w:eastAsia="zh-CN"/>
        </w:rPr>
        <w:t xml:space="preserve">Proposal </w:t>
      </w:r>
      <w:r w:rsidR="00BD2917">
        <w:rPr>
          <w:b/>
          <w:i/>
          <w:lang w:val="en-GB" w:eastAsia="zh-CN"/>
        </w:rPr>
        <w:t>1</w:t>
      </w:r>
      <w:r w:rsidRPr="009D1C00">
        <w:rPr>
          <w:b/>
          <w:i/>
          <w:lang w:val="en-GB" w:eastAsia="zh-CN"/>
        </w:rPr>
        <w:t xml:space="preserve">: </w:t>
      </w:r>
      <w:bookmarkStart w:id="5" w:name="OLE_LINK17"/>
      <w:bookmarkStart w:id="6" w:name="OLE_LINK18"/>
      <w:r w:rsidRPr="009D1C00">
        <w:rPr>
          <w:b/>
          <w:i/>
          <w:lang w:val="en-GB" w:eastAsia="zh-CN"/>
        </w:rPr>
        <w:t xml:space="preserve">Multiple satellite beams </w:t>
      </w:r>
      <w:r w:rsidR="00C42140">
        <w:rPr>
          <w:b/>
          <w:i/>
          <w:lang w:val="en-GB" w:eastAsia="zh-CN"/>
        </w:rPr>
        <w:t>in one cell</w:t>
      </w:r>
      <w:bookmarkEnd w:id="5"/>
      <w:bookmarkEnd w:id="6"/>
      <w:r w:rsidR="00C42140">
        <w:rPr>
          <w:b/>
          <w:i/>
          <w:lang w:val="en-GB" w:eastAsia="zh-CN"/>
        </w:rPr>
        <w:t xml:space="preserve"> </w:t>
      </w:r>
      <w:r w:rsidRPr="009D1C00">
        <w:rPr>
          <w:b/>
          <w:i/>
          <w:lang w:val="en-GB" w:eastAsia="zh-CN"/>
        </w:rPr>
        <w:t>should be supported in IOT NTN.</w:t>
      </w:r>
    </w:p>
    <w:p w14:paraId="31EDF7E3" w14:textId="77777777" w:rsidR="00817765" w:rsidRDefault="00817765" w:rsidP="00B3553A">
      <w:pPr>
        <w:rPr>
          <w:b/>
          <w:i/>
          <w:lang w:val="en-GB" w:eastAsia="zh-CN"/>
        </w:rPr>
      </w:pPr>
    </w:p>
    <w:bookmarkEnd w:id="1"/>
    <w:bookmarkEnd w:id="2"/>
    <w:p w14:paraId="3F8E6AFE" w14:textId="6C11E8F4" w:rsidR="00D3051C" w:rsidRPr="00817765" w:rsidRDefault="00817765" w:rsidP="00817765">
      <w:pPr>
        <w:pStyle w:val="1"/>
        <w:rPr>
          <w:lang w:val="en-GB" w:eastAsia="zh-CN"/>
        </w:rPr>
      </w:pPr>
      <w:r w:rsidRPr="00817765">
        <w:rPr>
          <w:lang w:val="en-GB" w:eastAsia="zh-CN"/>
        </w:rPr>
        <w:t>Beam management</w:t>
      </w:r>
    </w:p>
    <w:bookmarkEnd w:id="3"/>
    <w:bookmarkEnd w:id="4"/>
    <w:p w14:paraId="76F1679E" w14:textId="06F853FC" w:rsidR="00E9393F" w:rsidRDefault="005B3C38" w:rsidP="00B3553A">
      <w:pPr>
        <w:rPr>
          <w:lang w:val="en-GB" w:eastAsia="zh-CN"/>
        </w:rPr>
      </w:pPr>
      <w:r>
        <w:rPr>
          <w:lang w:val="en-GB" w:eastAsia="zh-CN"/>
        </w:rPr>
        <w:t xml:space="preserve">For </w:t>
      </w:r>
      <w:r w:rsidRPr="005B3C38">
        <w:rPr>
          <w:lang w:val="en-GB" w:eastAsia="zh-CN"/>
        </w:rPr>
        <w:t>multiple beams per cell</w:t>
      </w:r>
      <w:r>
        <w:rPr>
          <w:lang w:val="en-GB" w:eastAsia="zh-CN"/>
        </w:rPr>
        <w:t xml:space="preserve">, </w:t>
      </w:r>
      <w:r w:rsidR="009D1C00" w:rsidRPr="009D1C00">
        <w:rPr>
          <w:lang w:val="en-GB" w:eastAsia="zh-CN"/>
        </w:rPr>
        <w:t>beam management</w:t>
      </w:r>
      <w:r w:rsidR="009D1C00">
        <w:rPr>
          <w:lang w:val="en-GB" w:eastAsia="zh-CN"/>
        </w:rPr>
        <w:t xml:space="preserve"> </w:t>
      </w:r>
      <w:r w:rsidR="009D1C00">
        <w:rPr>
          <w:rFonts w:hint="eastAsia"/>
          <w:lang w:val="en-GB" w:eastAsia="zh-CN"/>
        </w:rPr>
        <w:t>should</w:t>
      </w:r>
      <w:r w:rsidR="009D1C00">
        <w:rPr>
          <w:lang w:val="en-GB" w:eastAsia="zh-CN"/>
        </w:rPr>
        <w:t xml:space="preserve"> be considered in IOT NTN. </w:t>
      </w:r>
      <w:r w:rsidR="00C41BB3" w:rsidRPr="00C41BB3">
        <w:rPr>
          <w:lang w:val="en-GB" w:eastAsia="zh-CN"/>
        </w:rPr>
        <w:t>In the existing specifications,</w:t>
      </w:r>
      <w:r w:rsidR="00C41BB3">
        <w:rPr>
          <w:lang w:val="en-GB" w:eastAsia="zh-CN"/>
        </w:rPr>
        <w:t xml:space="preserve"> </w:t>
      </w:r>
      <w:r w:rsidR="00C41BB3">
        <w:rPr>
          <w:rFonts w:hint="eastAsia"/>
          <w:lang w:val="en-GB" w:eastAsia="zh-CN"/>
        </w:rPr>
        <w:t>o</w:t>
      </w:r>
      <w:r w:rsidRPr="005B3C38">
        <w:rPr>
          <w:lang w:val="en-GB" w:eastAsia="zh-CN"/>
        </w:rPr>
        <w:t>ne NB-IoT cell can operate with multiple NB-IoT carriers allowing to support simultaneously a number of different IoT use cases.</w:t>
      </w:r>
      <w:r w:rsidR="009D1C00">
        <w:rPr>
          <w:lang w:val="en-GB" w:eastAsia="zh-CN"/>
        </w:rPr>
        <w:t xml:space="preserve"> </w:t>
      </w:r>
      <w:r w:rsidR="00393424" w:rsidRPr="00393424">
        <w:rPr>
          <w:lang w:val="en-GB" w:eastAsia="zh-CN"/>
        </w:rPr>
        <w:t>Different beams correspond to different carrier indexes, so beam switching can be realized by carrier switching</w:t>
      </w:r>
      <w:r w:rsidR="00393424">
        <w:rPr>
          <w:lang w:val="en-GB" w:eastAsia="zh-CN"/>
        </w:rPr>
        <w:t>.</w:t>
      </w:r>
    </w:p>
    <w:p w14:paraId="09593276" w14:textId="29F6C795" w:rsidR="009D1C00" w:rsidRDefault="000B22B6" w:rsidP="009D1C00">
      <w:pPr>
        <w:jc w:val="center"/>
      </w:pPr>
      <w:r>
        <w:object w:dxaOrig="9391" w:dyaOrig="5401" w14:anchorId="7E497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179.05pt" o:ole="">
            <v:imagedata r:id="rId9" o:title=""/>
          </v:shape>
          <o:OLEObject Type="Embed" ProgID="Visio.Drawing.15" ShapeID="_x0000_i1025" DrawAspect="Content" ObjectID="_1678883818" r:id="rId10"/>
        </w:object>
      </w:r>
    </w:p>
    <w:p w14:paraId="7B53591F" w14:textId="6D92E27E" w:rsidR="009D1C00" w:rsidRDefault="00770DC0" w:rsidP="009D1C00">
      <w:pPr>
        <w:jc w:val="center"/>
        <w:rPr>
          <w:b/>
        </w:rPr>
      </w:pPr>
      <w:r w:rsidRPr="00770DC0">
        <w:rPr>
          <w:b/>
        </w:rPr>
        <w:t>Figure 1: Carriers configurations in a</w:t>
      </w:r>
      <w:r w:rsidR="000A151F">
        <w:rPr>
          <w:b/>
        </w:rPr>
        <w:t>n</w:t>
      </w:r>
      <w:r w:rsidR="00D73A62">
        <w:rPr>
          <w:b/>
        </w:rPr>
        <w:t xml:space="preserve"> IOT</w:t>
      </w:r>
      <w:r w:rsidRPr="00770DC0">
        <w:rPr>
          <w:b/>
        </w:rPr>
        <w:t xml:space="preserve"> NTN cell.</w:t>
      </w:r>
    </w:p>
    <w:p w14:paraId="77C3DCF5" w14:textId="3C6E597B" w:rsidR="00FE522E" w:rsidRDefault="00FE522E" w:rsidP="00FE522E">
      <w:pPr>
        <w:rPr>
          <w:lang w:eastAsia="zh-CN"/>
        </w:rPr>
      </w:pPr>
      <w:r>
        <w:rPr>
          <w:lang w:eastAsia="zh-CN"/>
        </w:rPr>
        <w:lastRenderedPageBreak/>
        <w:t>However, in RAN#91e, the follow proposal had been achieved.</w:t>
      </w:r>
      <w:r w:rsidR="0064718A">
        <w:rPr>
          <w:lang w:eastAsia="zh-CN"/>
        </w:rPr>
        <w:t xml:space="preserve"> It can be seen that </w:t>
      </w:r>
      <w:r w:rsidR="0064718A" w:rsidRPr="00FB6816">
        <w:rPr>
          <w:rFonts w:eastAsia="等线" w:cs="Arial"/>
          <w:lang w:val="en-GB" w:eastAsia="zh-CN"/>
        </w:rPr>
        <w:t>we should focus on the limited scenarios</w:t>
      </w:r>
      <w:r w:rsidR="0064718A">
        <w:rPr>
          <w:rFonts w:eastAsia="等线" w:cs="Arial"/>
          <w:lang w:val="en-GB" w:eastAsia="zh-CN"/>
        </w:rPr>
        <w:t xml:space="preserve"> and </w:t>
      </w:r>
      <w:r w:rsidR="0064718A" w:rsidRPr="0064718A">
        <w:rPr>
          <w:lang w:eastAsia="zh-CN"/>
        </w:rPr>
        <w:t xml:space="preserve">essential functionality </w:t>
      </w:r>
      <w:r w:rsidR="0064718A" w:rsidRPr="00FB6816">
        <w:rPr>
          <w:rFonts w:eastAsia="等线" w:cs="Arial"/>
          <w:lang w:val="en-GB" w:eastAsia="zh-CN"/>
        </w:rPr>
        <w:t>in Rel-17</w:t>
      </w:r>
      <w:r w:rsidR="0064718A">
        <w:rPr>
          <w:rFonts w:eastAsia="等线" w:cs="Arial"/>
          <w:lang w:val="en-GB" w:eastAsia="zh-CN"/>
        </w:rPr>
        <w:t>.</w:t>
      </w:r>
      <w:r w:rsidR="00B25477" w:rsidRPr="00B25477">
        <w:t xml:space="preserve"> </w:t>
      </w:r>
      <w:r w:rsidR="00B25477" w:rsidRPr="00B25477">
        <w:rPr>
          <w:rFonts w:eastAsia="等线" w:cs="Arial"/>
          <w:lang w:val="en-GB" w:eastAsia="zh-CN"/>
        </w:rPr>
        <w:t>The potential solutions for enhancements targeting potential optimization of IoT NTN should be considered in later releases.</w:t>
      </w:r>
    </w:p>
    <w:tbl>
      <w:tblPr>
        <w:tblStyle w:val="aff1"/>
        <w:tblW w:w="0" w:type="auto"/>
        <w:tblLook w:val="04A0" w:firstRow="1" w:lastRow="0" w:firstColumn="1" w:lastColumn="0" w:noHBand="0" w:noVBand="1"/>
      </w:tblPr>
      <w:tblGrid>
        <w:gridCol w:w="9307"/>
      </w:tblGrid>
      <w:tr w:rsidR="00FE522E" w14:paraId="6353D20F" w14:textId="77777777" w:rsidTr="00A57C36">
        <w:tc>
          <w:tcPr>
            <w:tcW w:w="9307" w:type="dxa"/>
          </w:tcPr>
          <w:p w14:paraId="30009E69" w14:textId="77777777" w:rsidR="00FE522E" w:rsidRPr="004840F0" w:rsidRDefault="00FE522E" w:rsidP="00FE522E">
            <w:pPr>
              <w:numPr>
                <w:ilvl w:val="0"/>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The study on IoT over NTN should target the following by RAN#92</w:t>
            </w:r>
          </w:p>
          <w:p w14:paraId="22CA0248" w14:textId="77777777" w:rsidR="00FE522E" w:rsidRPr="004840F0" w:rsidRDefault="00FE522E" w:rsidP="00FE522E">
            <w:pPr>
              <w:numPr>
                <w:ilvl w:val="1"/>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Detailed study of solutions addressing essential functionality for GEO and NGSO scenarios, prioritizing at least the use case of intermittent delay-tolerant small packet transmissions </w:t>
            </w:r>
          </w:p>
          <w:p w14:paraId="3AC6395B" w14:textId="77777777" w:rsidR="00FE522E" w:rsidRPr="004840F0" w:rsidRDefault="00FE522E" w:rsidP="00FE522E">
            <w:pPr>
              <w:numPr>
                <w:ilvl w:val="1"/>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Prioritization of potential enhancements for the functionalities needed specifically for IoT over NTN that cannot be translated from the ongoing NR NTN WI for the considered scenarios and use case(s) in the study</w:t>
            </w:r>
          </w:p>
          <w:p w14:paraId="6193308C" w14:textId="77777777" w:rsidR="00FE522E" w:rsidRPr="004840F0" w:rsidRDefault="00FE522E" w:rsidP="00FE522E">
            <w:pPr>
              <w:numPr>
                <w:ilvl w:val="1"/>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Recommendations on specification changes needed at least for essential functionality (to be determined by working groups targeting Rel-17), for the considered scenarios and use case(s)  </w:t>
            </w:r>
          </w:p>
          <w:p w14:paraId="66BA588D" w14:textId="77777777" w:rsidR="00FE522E" w:rsidRPr="004840F0" w:rsidRDefault="00FE522E" w:rsidP="00FE522E">
            <w:pPr>
              <w:numPr>
                <w:ilvl w:val="1"/>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Note: Additional enhancements on at least the following can be considered by the working groups as candidates for non-essential functionality in Rel-17.</w:t>
            </w:r>
          </w:p>
          <w:p w14:paraId="15E4166E"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HARQ </w:t>
            </w:r>
          </w:p>
          <w:p w14:paraId="6A3D4171"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Latency </w:t>
            </w:r>
          </w:p>
          <w:p w14:paraId="4B0470D4"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Power consumption </w:t>
            </w:r>
          </w:p>
          <w:p w14:paraId="04695A9F"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Spectral efficiency </w:t>
            </w:r>
          </w:p>
          <w:p w14:paraId="58C644ED"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Coverage </w:t>
            </w:r>
          </w:p>
          <w:p w14:paraId="494F16A8"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Mobility </w:t>
            </w:r>
          </w:p>
          <w:p w14:paraId="7A250DB5" w14:textId="77777777" w:rsidR="00FE522E" w:rsidRPr="004840F0" w:rsidRDefault="00FE522E" w:rsidP="00FE522E">
            <w:pPr>
              <w:numPr>
                <w:ilvl w:val="2"/>
                <w:numId w:val="41"/>
              </w:numPr>
              <w:overflowPunct w:val="0"/>
              <w:snapToGrid/>
              <w:spacing w:after="180"/>
              <w:jc w:val="left"/>
              <w:textAlignment w:val="baseline"/>
              <w:rPr>
                <w:rFonts w:ascii="Arial" w:eastAsia="宋体" w:hAnsi="Arial" w:cs="Arial"/>
                <w:sz w:val="20"/>
                <w:szCs w:val="20"/>
                <w:lang w:val="en-GB" w:eastAsia="ja-JP"/>
              </w:rPr>
            </w:pPr>
            <w:r w:rsidRPr="004840F0">
              <w:rPr>
                <w:rFonts w:ascii="Arial" w:eastAsia="宋体" w:hAnsi="Arial" w:cs="Arial"/>
                <w:sz w:val="20"/>
                <w:szCs w:val="20"/>
                <w:lang w:val="en-GB" w:eastAsia="ja-JP"/>
              </w:rPr>
              <w:t xml:space="preserve">RLF and re-establishment handling </w:t>
            </w:r>
          </w:p>
          <w:p w14:paraId="7A8BE16B" w14:textId="77777777" w:rsidR="00FE522E" w:rsidRPr="004840F0" w:rsidRDefault="00FE522E" w:rsidP="00FE522E">
            <w:pPr>
              <w:numPr>
                <w:ilvl w:val="0"/>
                <w:numId w:val="41"/>
              </w:numPr>
              <w:overflowPunct w:val="0"/>
              <w:snapToGrid/>
              <w:spacing w:after="0"/>
              <w:jc w:val="left"/>
              <w:textAlignment w:val="baseline"/>
              <w:rPr>
                <w:rFonts w:ascii="Arial" w:eastAsia="Calibri" w:hAnsi="Arial" w:cs="Arial"/>
                <w:sz w:val="20"/>
                <w:szCs w:val="20"/>
                <w:lang w:val="x-none"/>
              </w:rPr>
            </w:pPr>
            <w:r w:rsidRPr="004840F0">
              <w:rPr>
                <w:rFonts w:ascii="Arial" w:eastAsia="Calibri" w:hAnsi="Arial" w:cs="Arial"/>
                <w:sz w:val="20"/>
                <w:szCs w:val="20"/>
                <w:lang w:val="x-none"/>
              </w:rPr>
              <w:t>Time permitting, at least a high-level description of the potential solutions for enhancements targeting potential optimization of IoT NTN in later releases can be captured in TR 36.763, when feasible.</w:t>
            </w:r>
          </w:p>
        </w:tc>
      </w:tr>
    </w:tbl>
    <w:p w14:paraId="327619AD" w14:textId="1AC4366A" w:rsidR="00FE522E" w:rsidRPr="00FE522E" w:rsidRDefault="00FE522E" w:rsidP="00FE522E">
      <w:pPr>
        <w:rPr>
          <w:lang w:eastAsia="zh-CN"/>
        </w:rPr>
      </w:pPr>
      <w:r>
        <w:rPr>
          <w:lang w:eastAsia="zh-CN"/>
        </w:rPr>
        <w:t>T</w:t>
      </w:r>
      <w:r>
        <w:rPr>
          <w:rFonts w:hint="eastAsia"/>
          <w:lang w:eastAsia="zh-CN"/>
        </w:rPr>
        <w:t xml:space="preserve">herefore, </w:t>
      </w:r>
      <w:r>
        <w:rPr>
          <w:lang w:eastAsia="zh-CN"/>
        </w:rPr>
        <w:t>p</w:t>
      </w:r>
      <w:r w:rsidRPr="00FE522E">
        <w:rPr>
          <w:lang w:eastAsia="zh-CN"/>
        </w:rPr>
        <w:t>otential enhancement to enable the beam management</w:t>
      </w:r>
      <w:r>
        <w:rPr>
          <w:lang w:eastAsia="zh-CN"/>
        </w:rPr>
        <w:t xml:space="preserve"> can be considered in R18.</w:t>
      </w:r>
    </w:p>
    <w:p w14:paraId="76F80011" w14:textId="26A172F7" w:rsidR="0087563F" w:rsidRPr="00AD5F1D" w:rsidRDefault="0087563F" w:rsidP="0087563F">
      <w:pPr>
        <w:jc w:val="left"/>
        <w:rPr>
          <w:b/>
          <w:i/>
        </w:rPr>
      </w:pPr>
      <w:r w:rsidRPr="00AD5F1D">
        <w:rPr>
          <w:b/>
          <w:i/>
        </w:rPr>
        <w:t xml:space="preserve">Proposal 2: </w:t>
      </w:r>
      <w:r w:rsidR="00FE522E">
        <w:rPr>
          <w:b/>
          <w:i/>
        </w:rPr>
        <w:t>P</w:t>
      </w:r>
      <w:r w:rsidR="00FE522E" w:rsidRPr="00FE522E">
        <w:rPr>
          <w:b/>
          <w:i/>
        </w:rPr>
        <w:t>otential enhancement to enable the beam management can be considered in R18</w:t>
      </w:r>
      <w:r w:rsidR="00AD5F1D">
        <w:rPr>
          <w:b/>
          <w:i/>
        </w:rPr>
        <w:t>.</w:t>
      </w:r>
    </w:p>
    <w:p w14:paraId="7947B4D8" w14:textId="77777777" w:rsidR="00833DE3" w:rsidRPr="00770DC0" w:rsidRDefault="00833DE3" w:rsidP="009D1C00">
      <w:pPr>
        <w:jc w:val="center"/>
        <w:rPr>
          <w:b/>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23791FA6" w14:textId="3AE43346" w:rsidR="00AB4BBE" w:rsidRDefault="00AB4BBE" w:rsidP="00B3553A">
      <w:pPr>
        <w:autoSpaceDE/>
        <w:autoSpaceDN/>
        <w:adjustRightInd/>
        <w:snapToGrid/>
        <w:spacing w:after="0"/>
        <w:jc w:val="left"/>
        <w:rPr>
          <w:b/>
          <w:i/>
          <w:szCs w:val="20"/>
          <w:lang w:eastAsia="zh-CN"/>
        </w:rPr>
      </w:pPr>
      <w:r w:rsidRPr="00AB4BBE">
        <w:rPr>
          <w:b/>
          <w:i/>
          <w:szCs w:val="20"/>
          <w:lang w:eastAsia="zh-CN"/>
        </w:rPr>
        <w:t xml:space="preserve">Proposal </w:t>
      </w:r>
      <w:r w:rsidR="00EE5DFD">
        <w:rPr>
          <w:b/>
          <w:i/>
          <w:szCs w:val="20"/>
          <w:lang w:eastAsia="zh-CN"/>
        </w:rPr>
        <w:t>1</w:t>
      </w:r>
      <w:r w:rsidRPr="00AB4BBE">
        <w:rPr>
          <w:b/>
          <w:i/>
          <w:szCs w:val="20"/>
          <w:lang w:eastAsia="zh-CN"/>
        </w:rPr>
        <w:t xml:space="preserve">: Multiple satellite beams </w:t>
      </w:r>
      <w:r w:rsidR="00C42140" w:rsidRPr="00C42140">
        <w:rPr>
          <w:b/>
          <w:i/>
          <w:szCs w:val="20"/>
          <w:lang w:eastAsia="zh-CN"/>
        </w:rPr>
        <w:t xml:space="preserve">in one cell </w:t>
      </w:r>
      <w:r w:rsidRPr="00AB4BBE">
        <w:rPr>
          <w:b/>
          <w:i/>
          <w:szCs w:val="20"/>
          <w:lang w:eastAsia="zh-CN"/>
        </w:rPr>
        <w:t>should be supported in IOT NTN.</w:t>
      </w:r>
    </w:p>
    <w:p w14:paraId="29B41841" w14:textId="087FECB0" w:rsidR="00C42140" w:rsidRDefault="00FE522E" w:rsidP="00B3553A">
      <w:pPr>
        <w:autoSpaceDE/>
        <w:autoSpaceDN/>
        <w:adjustRightInd/>
        <w:snapToGrid/>
        <w:spacing w:after="0"/>
        <w:jc w:val="left"/>
        <w:rPr>
          <w:b/>
          <w:i/>
          <w:szCs w:val="20"/>
          <w:lang w:eastAsia="zh-CN"/>
        </w:rPr>
      </w:pPr>
      <w:r w:rsidRPr="00FE522E">
        <w:rPr>
          <w:b/>
          <w:i/>
          <w:szCs w:val="20"/>
          <w:lang w:eastAsia="zh-CN"/>
        </w:rPr>
        <w:t>Proposal 2: Potential enhancement to enable the beam management can be considered in R18.</w:t>
      </w:r>
    </w:p>
    <w:p w14:paraId="2EA7E239" w14:textId="77777777" w:rsidR="00FE522E" w:rsidRPr="004D275E" w:rsidRDefault="00FE522E"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1628B73E" w14:textId="77777777" w:rsidR="004F1D49" w:rsidRPr="00E20851" w:rsidRDefault="004F1D49" w:rsidP="004F1D49">
      <w:pPr>
        <w:pStyle w:val="References"/>
        <w:rPr>
          <w:sz w:val="22"/>
          <w:szCs w:val="22"/>
          <w:lang w:eastAsia="zh-CN"/>
        </w:rPr>
      </w:pPr>
      <w:bookmarkStart w:id="7" w:name="_Ref51937982"/>
      <w:bookmarkStart w:id="8" w:name="_Ref30583942"/>
      <w:bookmarkEnd w:id="0"/>
      <w:r w:rsidRPr="001252BC">
        <w:rPr>
          <w:sz w:val="22"/>
          <w:szCs w:val="22"/>
          <w:lang w:eastAsia="zh-CN"/>
        </w:rPr>
        <w:t>RP-210868</w:t>
      </w:r>
      <w:r w:rsidRPr="00E20851">
        <w:rPr>
          <w:sz w:val="22"/>
          <w:szCs w:val="22"/>
          <w:lang w:eastAsia="zh-CN"/>
        </w:rPr>
        <w:t>, “Study on NB-IoT/eMTC support for Non-Terrestrial Networks”, MediaTek Inc.</w:t>
      </w:r>
      <w:bookmarkEnd w:id="7"/>
      <w:r w:rsidRPr="00E20851">
        <w:rPr>
          <w:sz w:val="22"/>
          <w:szCs w:val="22"/>
          <w:lang w:eastAsia="zh-CN"/>
        </w:rPr>
        <w:t xml:space="preserve"> </w:t>
      </w:r>
      <w:bookmarkEnd w:id="8"/>
    </w:p>
    <w:p w14:paraId="6CC29ADF" w14:textId="77777777" w:rsidR="008048A4" w:rsidRPr="00475E00" w:rsidRDefault="008048A4" w:rsidP="008048A4">
      <w:pPr>
        <w:pStyle w:val="References"/>
        <w:rPr>
          <w:sz w:val="22"/>
          <w:szCs w:val="22"/>
          <w:lang w:eastAsia="zh-CN"/>
        </w:rPr>
      </w:pPr>
      <w:bookmarkStart w:id="9" w:name="_GoBack"/>
      <w:bookmarkEnd w:id="9"/>
      <w:r w:rsidRPr="00475E00">
        <w:rPr>
          <w:sz w:val="22"/>
          <w:szCs w:val="22"/>
          <w:lang w:eastAsia="zh-CN"/>
        </w:rPr>
        <w:t>3GPP RAN1#102e Chairman’s Notes, August 17 - 28, 2020.</w:t>
      </w:r>
    </w:p>
    <w:p w14:paraId="41371A16" w14:textId="77777777" w:rsidR="00B3553A" w:rsidRPr="008048A4" w:rsidRDefault="00B3553A" w:rsidP="009F76FA">
      <w:pPr>
        <w:rPr>
          <w:lang w:eastAsia="zh-CN"/>
        </w:rPr>
      </w:pPr>
    </w:p>
    <w:sectPr w:rsidR="00B3553A" w:rsidRPr="008048A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B97A9" w14:textId="77777777" w:rsidR="004B2885" w:rsidRDefault="004B2885" w:rsidP="00921B36">
      <w:pPr>
        <w:spacing w:after="0"/>
      </w:pPr>
      <w:r>
        <w:separator/>
      </w:r>
    </w:p>
  </w:endnote>
  <w:endnote w:type="continuationSeparator" w:id="0">
    <w:p w14:paraId="452CED70" w14:textId="77777777" w:rsidR="004B2885" w:rsidRDefault="004B2885"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DAB75" w14:textId="77777777" w:rsidR="004B2885" w:rsidRDefault="004B2885" w:rsidP="00921B36">
      <w:pPr>
        <w:spacing w:after="0"/>
      </w:pPr>
      <w:r>
        <w:separator/>
      </w:r>
    </w:p>
  </w:footnote>
  <w:footnote w:type="continuationSeparator" w:id="0">
    <w:p w14:paraId="760CB41B" w14:textId="77777777" w:rsidR="004B2885" w:rsidRDefault="004B2885"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3"/>
  </w:num>
  <w:num w:numId="3">
    <w:abstractNumId w:val="0"/>
  </w:num>
  <w:num w:numId="4">
    <w:abstractNumId w:val="18"/>
  </w:num>
  <w:num w:numId="5">
    <w:abstractNumId w:val="37"/>
  </w:num>
  <w:num w:numId="6">
    <w:abstractNumId w:val="34"/>
  </w:num>
  <w:num w:numId="7">
    <w:abstractNumId w:val="21"/>
  </w:num>
  <w:num w:numId="8">
    <w:abstractNumId w:val="35"/>
  </w:num>
  <w:num w:numId="9">
    <w:abstractNumId w:val="5"/>
  </w:num>
  <w:num w:numId="10">
    <w:abstractNumId w:val="22"/>
  </w:num>
  <w:num w:numId="11">
    <w:abstractNumId w:val="24"/>
  </w:num>
  <w:num w:numId="12">
    <w:abstractNumId w:val="38"/>
  </w:num>
  <w:num w:numId="13">
    <w:abstractNumId w:val="25"/>
  </w:num>
  <w:num w:numId="14">
    <w:abstractNumId w:val="36"/>
  </w:num>
  <w:num w:numId="15">
    <w:abstractNumId w:val="20"/>
  </w:num>
  <w:num w:numId="16">
    <w:abstractNumId w:val="31"/>
  </w:num>
  <w:num w:numId="17">
    <w:abstractNumId w:val="23"/>
  </w:num>
  <w:num w:numId="18">
    <w:abstractNumId w:val="14"/>
  </w:num>
  <w:num w:numId="19">
    <w:abstractNumId w:val="1"/>
  </w:num>
  <w:num w:numId="20">
    <w:abstractNumId w:val="3"/>
  </w:num>
  <w:num w:numId="21">
    <w:abstractNumId w:val="28"/>
  </w:num>
  <w:num w:numId="22">
    <w:abstractNumId w:val="29"/>
  </w:num>
  <w:num w:numId="23">
    <w:abstractNumId w:val="15"/>
  </w:num>
  <w:num w:numId="24">
    <w:abstractNumId w:val="17"/>
  </w:num>
  <w:num w:numId="25">
    <w:abstractNumId w:val="16"/>
  </w:num>
  <w:num w:numId="26">
    <w:abstractNumId w:val="13"/>
  </w:num>
  <w:num w:numId="27">
    <w:abstractNumId w:val="6"/>
  </w:num>
  <w:num w:numId="28">
    <w:abstractNumId w:val="8"/>
  </w:num>
  <w:num w:numId="29">
    <w:abstractNumId w:val="27"/>
  </w:num>
  <w:num w:numId="30">
    <w:abstractNumId w:val="2"/>
  </w:num>
  <w:num w:numId="31">
    <w:abstractNumId w:val="11"/>
  </w:num>
  <w:num w:numId="32">
    <w:abstractNumId w:val="10"/>
  </w:num>
  <w:num w:numId="33">
    <w:abstractNumId w:val="7"/>
  </w:num>
  <w:num w:numId="34">
    <w:abstractNumId w:val="30"/>
  </w:num>
  <w:num w:numId="35">
    <w:abstractNumId w:val="32"/>
  </w:num>
  <w:num w:numId="36">
    <w:abstractNumId w:val="9"/>
  </w:num>
  <w:num w:numId="37">
    <w:abstractNumId w:val="4"/>
  </w:num>
  <w:num w:numId="38">
    <w:abstractNumId w:val="12"/>
  </w:num>
  <w:num w:numId="39">
    <w:abstractNumId w:val="30"/>
  </w:num>
  <w:num w:numId="40">
    <w:abstractNumId w:val="26"/>
  </w:num>
  <w:num w:numId="41">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51F"/>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373"/>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3E"/>
    <w:rsid w:val="0015276F"/>
    <w:rsid w:val="00152835"/>
    <w:rsid w:val="00152994"/>
    <w:rsid w:val="001529BB"/>
    <w:rsid w:val="001529D3"/>
    <w:rsid w:val="00152D11"/>
    <w:rsid w:val="00152DB5"/>
    <w:rsid w:val="0015344C"/>
    <w:rsid w:val="00153C45"/>
    <w:rsid w:val="00154144"/>
    <w:rsid w:val="0015438D"/>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99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37E"/>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7B9"/>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83"/>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5E00"/>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885"/>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49"/>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E6C"/>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25"/>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18A"/>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8A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65"/>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3F"/>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592"/>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0BD"/>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1F"/>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5F1D"/>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9EA"/>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477"/>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BA9"/>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917"/>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140"/>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A5"/>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46"/>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3FA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983"/>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0C9"/>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FA"/>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21C"/>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629"/>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5DFD"/>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235"/>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22E"/>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ind w:left="576"/>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2C15EB-D921-4817-A5AA-DF14EFB6C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3</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232</cp:revision>
  <cp:lastPrinted>2015-03-27T14:25:00Z</cp:lastPrinted>
  <dcterms:created xsi:type="dcterms:W3CDTF">2020-08-07T05:21:00Z</dcterms:created>
  <dcterms:modified xsi:type="dcterms:W3CDTF">2021-04-02T07:31:00Z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